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4" w:name="confined-space-entry-permit"/>
    <w:p>
      <w:pPr>
        <w:pStyle w:val="Heading1"/>
      </w:pPr>
      <w:r>
        <w:t xml:space="preserve">Confined Space Entry Permit</w:t>
      </w:r>
    </w:p>
    <w:p>
      <w:pPr>
        <w:pStyle w:val="FirstParagraph"/>
      </w:pPr>
      <w:r>
        <w:rPr>
          <w:i/>
          <w:iCs/>
        </w:rPr>
        <w:t xml:space="preserve">Permit-Required Confined Space (29 CFR 1910.146) — Valid for one shift only — safetyteamtech.com</w:t>
      </w:r>
    </w:p>
    <w:bookmarkStart w:id="9" w:name="entry-details"/>
    <w:p>
      <w:pPr>
        <w:pStyle w:val="Heading2"/>
      </w:pPr>
      <w:r>
        <w:t xml:space="preserve">Entry Details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Entry</w:t>
            </w:r>
          </w:p>
        </w:tc>
      </w:tr>
      <w:tr>
        <w:tc>
          <w:tcPr/>
          <w:p>
            <w:pPr>
              <w:pStyle w:val="Compact"/>
            </w:pPr>
            <w:r>
              <w:t xml:space="preserve">Space identification / location</w:t>
            </w:r>
          </w:p>
        </w:tc>
        <w:tc>
          <w:tcPr/>
          <w:p>
            <w:pPr>
              <w:pStyle w:val="Compact"/>
            </w:pPr>
          </w:p>
        </w:tc>
      </w:tr>
      <w:tr>
        <w:tc>
          <w:tcPr/>
          <w:p>
            <w:pPr>
              <w:pStyle w:val="Compact"/>
            </w:pPr>
            <w:r>
              <w:t xml:space="preserve">Purpose of entry</w:t>
            </w:r>
          </w:p>
        </w:tc>
        <w:tc>
          <w:tcPr/>
          <w:p>
            <w:pPr>
              <w:pStyle w:val="Compact"/>
            </w:pPr>
          </w:p>
        </w:tc>
      </w:tr>
      <w:tr>
        <w:tc>
          <w:tcPr/>
          <w:p>
            <w:pPr>
              <w:pStyle w:val="Compact"/>
            </w:pPr>
            <w:r>
              <w:t xml:space="preserve">Date</w:t>
            </w:r>
          </w:p>
        </w:tc>
        <w:tc>
          <w:tcPr/>
          <w:p>
            <w:pPr>
              <w:pStyle w:val="Compact"/>
            </w:pPr>
          </w:p>
        </w:tc>
      </w:tr>
      <w:tr>
        <w:tc>
          <w:tcPr/>
          <w:p>
            <w:pPr>
              <w:pStyle w:val="Compact"/>
            </w:pPr>
            <w:r>
              <w:t xml:space="preserve">Authorized time period (this shift only)</w:t>
            </w:r>
          </w:p>
        </w:tc>
        <w:tc>
          <w:tcPr/>
          <w:p>
            <w:pPr>
              <w:pStyle w:val="Compact"/>
            </w:pPr>
            <w:r>
              <w:t xml:space="preserve">From: __________ To: __________</w:t>
            </w:r>
          </w:p>
        </w:tc>
      </w:tr>
      <w:tr>
        <w:tc>
          <w:tcPr/>
          <w:p>
            <w:pPr>
              <w:pStyle w:val="Compact"/>
            </w:pPr>
            <w:r>
              <w:t xml:space="preserve">Authorized entrants (names)</w:t>
            </w:r>
          </w:p>
        </w:tc>
        <w:tc>
          <w:tcPr/>
          <w:p>
            <w:pPr>
              <w:pStyle w:val="Compact"/>
            </w:pPr>
          </w:p>
        </w:tc>
      </w:tr>
      <w:tr>
        <w:tc>
          <w:tcPr/>
          <w:p>
            <w:pPr>
              <w:pStyle w:val="Compact"/>
            </w:pPr>
            <w:r>
              <w:t xml:space="preserve">Attendant (name)</w:t>
            </w:r>
          </w:p>
        </w:tc>
        <w:tc>
          <w:tcPr/>
          <w:p>
            <w:pPr>
              <w:pStyle w:val="Compact"/>
            </w:pPr>
          </w:p>
        </w:tc>
      </w:tr>
      <w:tr>
        <w:tc>
          <w:tcPr/>
          <w:p>
            <w:pPr>
              <w:pStyle w:val="Compact"/>
            </w:pPr>
            <w:r>
              <w:t xml:space="preserve">Entry supervisor (name, signature)</w:t>
            </w:r>
          </w:p>
        </w:tc>
        <w:tc>
          <w:tcPr/>
          <w:p>
            <w:pPr>
              <w:pStyle w:val="Compact"/>
            </w:pPr>
          </w:p>
        </w:tc>
      </w:tr>
    </w:tbl>
    <w:bookmarkEnd w:id="9"/>
    <w:bookmarkStart w:id="10" w:name="hazard-identification-isolation"/>
    <w:p>
      <w:pPr>
        <w:pStyle w:val="Heading2"/>
      </w:pPr>
      <w:r>
        <w:t xml:space="preserve">Hazard Identification &amp; Isolation</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Entry</w:t>
            </w:r>
          </w:p>
        </w:tc>
      </w:tr>
      <w:tr>
        <w:tc>
          <w:tcPr/>
          <w:p>
            <w:pPr>
              <w:pStyle w:val="Compact"/>
            </w:pPr>
            <w:r>
              <w:t xml:space="preserve">Hazards identified</w:t>
            </w:r>
          </w:p>
        </w:tc>
        <w:tc>
          <w:tcPr/>
          <w:p>
            <w:pPr>
              <w:pStyle w:val="Compact"/>
            </w:pPr>
            <w:r>
              <w:t xml:space="preserve">[ ] Atmospheric   [ ] Engulfment   [ ] Entrapment   [ ] Other: __________</w:t>
            </w:r>
          </w:p>
        </w:tc>
      </w:tr>
      <w:tr>
        <w:tc>
          <w:tcPr/>
          <w:p>
            <w:pPr>
              <w:pStyle w:val="Compact"/>
            </w:pPr>
            <w:r>
              <w:t xml:space="preserve">Isolation methods completed</w:t>
            </w:r>
          </w:p>
        </w:tc>
        <w:tc>
          <w:tcPr/>
          <w:p>
            <w:pPr>
              <w:pStyle w:val="Compact"/>
            </w:pPr>
            <w:r>
              <w:t xml:space="preserve">[ ] Lockout/Tagout   [ ] Blanking   [ ] Disconnection   [ ] N/A</w:t>
            </w:r>
          </w:p>
        </w:tc>
      </w:tr>
    </w:tbl>
    <w:bookmarkEnd w:id="10"/>
    <w:bookmarkStart w:id="11" w:name="Xd898eb870bac33ae8cf89005f21295d0ed2e112"/>
    <w:p>
      <w:pPr>
        <w:pStyle w:val="Heading2"/>
      </w:pPr>
      <w:r>
        <w:t xml:space="preserve">Atmospheric Testing (record actual readings, not just</w:t>
      </w:r>
      <w:r>
        <w:t xml:space="preserve"> </w:t>
      </w:r>
      <w:r>
        <w:t xml:space="preserve">“OK”</w:t>
      </w:r>
      <w: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Entry</w:t>
            </w:r>
          </w:p>
        </w:tc>
      </w:tr>
      <w:tr>
        <w:tc>
          <w:tcPr/>
          <w:p>
            <w:pPr>
              <w:pStyle w:val="Compact"/>
            </w:pPr>
            <w:r>
              <w:t xml:space="preserve">Oxygen level (acceptable: 19.5%–23.5%)</w:t>
            </w:r>
          </w:p>
        </w:tc>
        <w:tc>
          <w:tcPr/>
          <w:p>
            <w:pPr>
              <w:pStyle w:val="Compact"/>
            </w:pPr>
          </w:p>
        </w:tc>
      </w:tr>
      <w:tr>
        <w:tc>
          <w:tcPr/>
          <w:p>
            <w:pPr>
              <w:pStyle w:val="Compact"/>
            </w:pPr>
            <w:r>
              <w:t xml:space="preserve">Flammability / LEL reading (acceptable: below 10%)</w:t>
            </w:r>
          </w:p>
        </w:tc>
        <w:tc>
          <w:tcPr/>
          <w:p>
            <w:pPr>
              <w:pStyle w:val="Compact"/>
            </w:pPr>
          </w:p>
        </w:tc>
      </w:tr>
      <w:tr>
        <w:tc>
          <w:tcPr/>
          <w:p>
            <w:pPr>
              <w:pStyle w:val="Compact"/>
            </w:pPr>
            <w:r>
              <w:t xml:space="preserve">Toxic gas reading(s)</w:t>
            </w:r>
          </w:p>
        </w:tc>
        <w:tc>
          <w:tcPr/>
          <w:p>
            <w:pPr>
              <w:pStyle w:val="Compact"/>
            </w:pPr>
          </w:p>
        </w:tc>
      </w:tr>
      <w:tr>
        <w:tc>
          <w:tcPr/>
          <w:p>
            <w:pPr>
              <w:pStyle w:val="Compact"/>
            </w:pPr>
            <w:r>
              <w:t xml:space="preserve">Time of testing / tester’s initials</w:t>
            </w:r>
          </w:p>
        </w:tc>
        <w:tc>
          <w:tcPr/>
          <w:p>
            <w:pPr>
              <w:pStyle w:val="Compact"/>
            </w:pPr>
          </w:p>
        </w:tc>
      </w:tr>
    </w:tbl>
    <w:bookmarkEnd w:id="11"/>
    <w:bookmarkStart w:id="12" w:name="rescue-communication-equipment"/>
    <w:p>
      <w:pPr>
        <w:pStyle w:val="Heading2"/>
      </w:pPr>
      <w:r>
        <w:t xml:space="preserve">Rescue, Communication &amp; Equipment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Entry</w:t>
            </w:r>
          </w:p>
        </w:tc>
      </w:tr>
      <w:tr>
        <w:tc>
          <w:tcPr/>
          <w:p>
            <w:pPr>
              <w:pStyle w:val="Compact"/>
            </w:pPr>
            <w:r>
              <w:t xml:space="preserve">Rescue / emergency service and how to summon</w:t>
            </w:r>
          </w:p>
        </w:tc>
        <w:tc>
          <w:tcPr/>
          <w:p>
            <w:pPr>
              <w:pStyle w:val="Compact"/>
            </w:pPr>
          </w:p>
        </w:tc>
      </w:tr>
      <w:tr>
        <w:tc>
          <w:tcPr/>
          <w:p>
            <w:pPr>
              <w:pStyle w:val="Compact"/>
            </w:pPr>
            <w:r>
              <w:t xml:space="preserve">Communication method (attendant ↔ entrants)</w:t>
            </w:r>
          </w:p>
        </w:tc>
        <w:tc>
          <w:tcPr/>
          <w:p>
            <w:pPr>
              <w:pStyle w:val="Compact"/>
            </w:pPr>
          </w:p>
        </w:tc>
      </w:tr>
      <w:tr>
        <w:tc>
          <w:tcPr/>
          <w:p>
            <w:pPr>
              <w:pStyle w:val="Compact"/>
            </w:pPr>
            <w:r>
              <w:t xml:space="preserve">Required equipment (PPE, monitor, comms, retrieval)</w:t>
            </w:r>
          </w:p>
        </w:tc>
        <w:tc>
          <w:tcPr/>
          <w:p>
            <w:pPr>
              <w:pStyle w:val="Compact"/>
            </w:pPr>
          </w:p>
        </w:tc>
      </w:tr>
      <w:tr>
        <w:tc>
          <w:tcPr/>
          <w:p>
            <w:pPr>
              <w:pStyle w:val="Compact"/>
            </w:pPr>
            <w:r>
              <w:t xml:space="preserve">Additional permits required (e.g. hot work)</w:t>
            </w:r>
          </w:p>
        </w:tc>
        <w:tc>
          <w:tcPr/>
          <w:p>
            <w:pPr>
              <w:pStyle w:val="Compact"/>
            </w:pPr>
          </w:p>
        </w:tc>
      </w:tr>
    </w:tbl>
    <w:bookmarkEnd w:id="12"/>
    <w:bookmarkStart w:id="13" w:name="permit-closeout"/>
    <w:p>
      <w:pPr>
        <w:pStyle w:val="Heading2"/>
      </w:pPr>
      <w:r>
        <w:t xml:space="preserve">Permit Closeout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Entry</w:t>
            </w:r>
          </w:p>
        </w:tc>
      </w:tr>
      <w:tr>
        <w:tc>
          <w:tcPr/>
          <w:p>
            <w:pPr>
              <w:pStyle w:val="Compact"/>
            </w:pPr>
            <w:r>
              <w:t xml:space="preserve">Permit canceled / entry complete (time)</w:t>
            </w:r>
          </w:p>
        </w:tc>
        <w:tc>
          <w:tcPr/>
          <w:p>
            <w:pPr>
              <w:pStyle w:val="Compact"/>
            </w:pPr>
          </w:p>
        </w:tc>
      </w:tr>
      <w:tr>
        <w:tc>
          <w:tcPr/>
          <w:p>
            <w:pPr>
              <w:pStyle w:val="Compact"/>
            </w:pPr>
            <w:r>
              <w:t xml:space="preserve">Entry supervisor signature</w:t>
            </w:r>
          </w:p>
        </w:tc>
        <w:tc>
          <w:tcPr/>
          <w:p>
            <w:pPr>
              <w:pStyle w:val="Compact"/>
            </w:pPr>
          </w:p>
        </w:tc>
      </w:tr>
    </w:tbl>
    <w:p>
      <w:r>
        <w:pict>
          <v:rect style="width:0;height:1.5pt" o:hralign="center" o:hrstd="t" o:hr="t"/>
        </w:pict>
      </w:r>
    </w:p>
    <w:p>
      <w:pPr>
        <w:pStyle w:val="FirstParagraph"/>
      </w:pPr>
      <w:r>
        <w:t xml:space="preserve">This permit is valid for the specific task and shift described above only. Post at the entry point for the duration of the work. If conditions change or work extends beyond the authorized period, cancel this permit and complete a new one before re-entry. Free template provided by Safety Team Technologies (safetyteamtech.com). Not a substitute for your own OSHA 1910.146 program review.</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2026-07-30T07:27:11Z</dcterms:created>
  <dcterms:modified xsi:type="dcterms:W3CDTF">2026-07-30T07:27:11Z</dcterms:modified>
</cp:coreProperties>
</file>

<file path=docProps/custom.xml><?xml version="1.0" encoding="utf-8"?>
<Properties xmlns="http://schemas.openxmlformats.org/officeDocument/2006/custom-properties" xmlns:vt="http://schemas.openxmlformats.org/officeDocument/2006/docPropsVTypes"/>
</file>